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方正小标宋简体" w:cs="Times New Roman"/>
          <w:b w:val="0"/>
          <w:bCs w:val="0"/>
          <w:sz w:val="36"/>
          <w:szCs w:val="36"/>
          <w:lang w:eastAsia="zh-CN"/>
        </w:rPr>
      </w:pPr>
      <w:r>
        <w:rPr>
          <w:rFonts w:hint="default" w:ascii="Times New Roman" w:hAnsi="Times New Roman" w:eastAsia="方正小标宋简体" w:cs="Times New Roman"/>
          <w:b w:val="0"/>
          <w:bCs w:val="0"/>
          <w:sz w:val="36"/>
          <w:szCs w:val="36"/>
          <w:lang w:eastAsia="zh-CN"/>
        </w:rPr>
        <w:t>中共北京市朝阳区纪律检查委员会</w:t>
      </w:r>
    </w:p>
    <w:p>
      <w:pPr>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方正小标宋简体" w:cs="Times New Roman"/>
          <w:b w:val="0"/>
          <w:bCs w:val="0"/>
          <w:sz w:val="36"/>
          <w:szCs w:val="36"/>
        </w:rPr>
      </w:pPr>
      <w:r>
        <w:rPr>
          <w:rFonts w:hint="default" w:ascii="Times New Roman" w:hAnsi="Times New Roman" w:eastAsia="方正小标宋简体" w:cs="Times New Roman"/>
          <w:b w:val="0"/>
          <w:bCs w:val="0"/>
          <w:sz w:val="36"/>
          <w:szCs w:val="36"/>
          <w:lang w:val="en-US" w:eastAsia="zh-CN"/>
        </w:rPr>
        <w:t>2024年度</w:t>
      </w:r>
      <w:r>
        <w:rPr>
          <w:rFonts w:hint="default" w:ascii="Times New Roman" w:hAnsi="Times New Roman" w:eastAsia="方正小标宋简体" w:cs="Times New Roman"/>
          <w:b w:val="0"/>
          <w:bCs w:val="0"/>
          <w:sz w:val="36"/>
          <w:szCs w:val="36"/>
        </w:rPr>
        <w:t>部门整体绩效</w:t>
      </w:r>
      <w:r>
        <w:rPr>
          <w:rFonts w:hint="default" w:ascii="Times New Roman" w:hAnsi="Times New Roman" w:eastAsia="方正小标宋简体" w:cs="Times New Roman"/>
          <w:b w:val="0"/>
          <w:bCs w:val="0"/>
          <w:sz w:val="36"/>
          <w:szCs w:val="36"/>
          <w:lang w:eastAsia="zh-CN"/>
        </w:rPr>
        <w:t>评价</w:t>
      </w:r>
      <w:r>
        <w:rPr>
          <w:rFonts w:hint="default" w:ascii="Times New Roman" w:hAnsi="Times New Roman" w:eastAsia="方正小标宋简体" w:cs="Times New Roman"/>
          <w:b w:val="0"/>
          <w:bCs w:val="0"/>
          <w:sz w:val="36"/>
          <w:szCs w:val="36"/>
        </w:rPr>
        <w:t>报告</w:t>
      </w:r>
    </w:p>
    <w:p>
      <w:pPr>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cs="Times New Roman"/>
          <w:b w:val="0"/>
          <w:bCs w:val="0"/>
          <w:sz w:val="30"/>
          <w:szCs w:val="30"/>
        </w:rPr>
      </w:pP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黑体" w:cs="Times New Roman"/>
          <w:b w:val="0"/>
          <w:bCs w:val="0"/>
          <w:color w:val="000000"/>
          <w:kern w:val="0"/>
          <w:sz w:val="30"/>
          <w:szCs w:val="30"/>
        </w:rPr>
      </w:pPr>
      <w:r>
        <w:rPr>
          <w:rFonts w:hint="default" w:ascii="Times New Roman" w:hAnsi="Times New Roman" w:eastAsia="黑体" w:cs="Times New Roman"/>
          <w:b w:val="0"/>
          <w:bCs w:val="0"/>
          <w:color w:val="000000"/>
          <w:kern w:val="0"/>
          <w:sz w:val="30"/>
          <w:szCs w:val="30"/>
        </w:rPr>
        <w:t>一、部门概况</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楷体_GB2312" w:cs="Times New Roman"/>
          <w:b w:val="0"/>
          <w:bCs w:val="0"/>
          <w:sz w:val="30"/>
          <w:szCs w:val="30"/>
        </w:rPr>
      </w:pPr>
      <w:r>
        <w:rPr>
          <w:rFonts w:hint="default" w:ascii="Times New Roman" w:hAnsi="Times New Roman" w:eastAsia="楷体_GB2312" w:cs="Times New Roman"/>
          <w:b w:val="0"/>
          <w:bCs w:val="0"/>
          <w:sz w:val="30"/>
          <w:szCs w:val="30"/>
        </w:rPr>
        <w:t>（一）机构设置</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shd w:val="clear" w:fill="FFFFFF"/>
          <w:lang w:eastAsia="zh-CN"/>
        </w:rPr>
      </w:pPr>
      <w:r>
        <w:rPr>
          <w:rFonts w:hint="default" w:ascii="Times New Roman" w:hAnsi="Times New Roman" w:eastAsia="仿宋_GB2312" w:cs="Times New Roman"/>
          <w:b w:val="0"/>
          <w:bCs w:val="0"/>
          <w:sz w:val="30"/>
          <w:szCs w:val="30"/>
          <w:shd w:val="clear" w:fill="FFFFFF"/>
          <w:lang w:eastAsia="zh-CN"/>
        </w:rPr>
        <w:t>中共北京市朝阳区纪律检查委员会由中共北京市朝阳区代表大会选举产生，是党的纪律检查机关；北京市朝阳区监察委员会由北京市朝阳区人民代表大会产生，是监察机关。区纪委与区监委合署办公，实行一套工作机构、两个机关名称，履行党的纪律检查和国家监察两项职责，对区委全面负责。</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shd w:val="clear" w:fill="FFFFFF"/>
          <w:lang w:val="en-US" w:eastAsia="zh-CN"/>
        </w:rPr>
      </w:pPr>
      <w:r>
        <w:rPr>
          <w:rFonts w:hint="default" w:ascii="Times New Roman" w:hAnsi="Times New Roman" w:eastAsia="仿宋_GB2312" w:cs="Times New Roman"/>
          <w:b w:val="0"/>
          <w:bCs w:val="0"/>
          <w:sz w:val="30"/>
          <w:szCs w:val="30"/>
          <w:shd w:val="clear" w:fill="FFFFFF"/>
          <w:lang w:val="en-US" w:eastAsia="zh-CN"/>
        </w:rPr>
        <w:t xml:space="preserve">根据区纪委、区监委机关内设机构设置的有关要求，区纪委、区监委合署办公，履行纪检、监察两项职责，实行一套工作机构、两个机关名称。机关设置21个部室、2个中心和机关党委，具体包括：办公室、组织部、宣传部、研究室、党风政风监督室、信访室、案件监督管理室、第一至第十二纪检监察室、案件审理室、纪检监察干部监督室、技术支持中心、办案安全保障中心、机关党委。 </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shd w:val="clear" w:fill="FFFFFF"/>
          <w:lang w:val="en-US" w:eastAsia="zh-CN"/>
        </w:rPr>
      </w:pPr>
      <w:r>
        <w:rPr>
          <w:rFonts w:hint="default" w:ascii="Times New Roman" w:hAnsi="Times New Roman" w:eastAsia="仿宋_GB2312" w:cs="Times New Roman"/>
          <w:b w:val="0"/>
          <w:bCs w:val="0"/>
          <w:sz w:val="30"/>
          <w:szCs w:val="30"/>
          <w:shd w:val="clear" w:fill="FFFFFF"/>
          <w:lang w:val="en-US" w:eastAsia="zh-CN"/>
        </w:rPr>
        <w:t>根据区纪委、区监委派驻机构设置的有关要求，区纪委区监委派驻机构由区纪委直接领导、统一管理，向区纪委区监委负责，我委共设置派驻机构17个。</w:t>
      </w:r>
    </w:p>
    <w:p>
      <w:pPr>
        <w:pageBreakBefore w:val="0"/>
        <w:widowControl w:val="0"/>
        <w:numPr>
          <w:ilvl w:val="0"/>
          <w:numId w:val="1"/>
        </w:numPr>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楷体_GB2312" w:cs="Times New Roman"/>
          <w:b w:val="0"/>
          <w:bCs w:val="0"/>
          <w:sz w:val="30"/>
          <w:szCs w:val="30"/>
          <w:highlight w:val="none"/>
        </w:rPr>
      </w:pPr>
      <w:r>
        <w:rPr>
          <w:rFonts w:hint="default" w:ascii="Times New Roman" w:hAnsi="Times New Roman" w:eastAsia="楷体_GB2312" w:cs="Times New Roman"/>
          <w:b w:val="0"/>
          <w:bCs w:val="0"/>
          <w:sz w:val="30"/>
          <w:szCs w:val="30"/>
          <w:highlight w:val="none"/>
        </w:rPr>
        <w:t>部门</w:t>
      </w:r>
      <w:r>
        <w:rPr>
          <w:rFonts w:hint="default" w:ascii="Times New Roman" w:hAnsi="Times New Roman" w:eastAsia="楷体_GB2312" w:cs="Times New Roman"/>
          <w:b w:val="0"/>
          <w:bCs w:val="0"/>
          <w:sz w:val="30"/>
          <w:szCs w:val="30"/>
        </w:rPr>
        <w:t>职责</w:t>
      </w:r>
      <w:r>
        <w:rPr>
          <w:rFonts w:hint="default" w:ascii="Times New Roman" w:hAnsi="Times New Roman" w:eastAsia="楷体_GB2312" w:cs="Times New Roman"/>
          <w:b w:val="0"/>
          <w:bCs w:val="0"/>
          <w:sz w:val="30"/>
          <w:szCs w:val="30"/>
          <w:lang w:eastAsia="zh-CN"/>
        </w:rPr>
        <w:t>及</w:t>
      </w:r>
      <w:r>
        <w:rPr>
          <w:rFonts w:hint="default" w:ascii="Times New Roman" w:hAnsi="Times New Roman" w:eastAsia="楷体_GB2312" w:cs="Times New Roman"/>
          <w:b w:val="0"/>
          <w:bCs w:val="0"/>
          <w:sz w:val="30"/>
          <w:szCs w:val="30"/>
          <w:highlight w:val="none"/>
        </w:rPr>
        <w:t>整体绩效目标设立情况</w:t>
      </w:r>
    </w:p>
    <w:p>
      <w:pPr>
        <w:pageBreakBefore w:val="0"/>
        <w:widowControl w:val="0"/>
        <w:numPr>
          <w:ilvl w:val="0"/>
          <w:numId w:val="0"/>
        </w:numPr>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highlight w:val="none"/>
          <w:shd w:val="clear" w:fill="FFFFFF"/>
          <w:lang w:val="en-US" w:eastAsia="zh-CN"/>
        </w:rPr>
      </w:pPr>
      <w:r>
        <w:rPr>
          <w:rFonts w:hint="default" w:ascii="Times New Roman" w:hAnsi="Times New Roman" w:eastAsia="仿宋_GB2312" w:cs="Times New Roman"/>
          <w:b w:val="0"/>
          <w:bCs w:val="0"/>
          <w:sz w:val="30"/>
          <w:szCs w:val="30"/>
          <w:highlight w:val="none"/>
          <w:shd w:val="clear" w:fill="FFFFFF"/>
          <w:lang w:val="en-US" w:eastAsia="zh-CN"/>
        </w:rPr>
        <w:t>中共北京市朝阳区纪律检查委员会部门整体绩效目标是主管全区党的纪律检查工作，维护党的章程和其他党内法规；协助区委加强党风建设，检查党的路线、方针、政策和决议的执行情况；对本地区所有行使公权力的公职人员依法实施监察；履行监督、调查、处置职责，监督检查公职人员依法履职。</w:t>
      </w:r>
    </w:p>
    <w:p>
      <w:pPr>
        <w:keepNext/>
        <w:keepLines/>
        <w:pageBreakBefore w:val="0"/>
        <w:widowControl w:val="0"/>
        <w:numPr>
          <w:ilvl w:val="0"/>
          <w:numId w:val="0"/>
        </w:numPr>
        <w:kinsoku/>
        <w:wordWrap/>
        <w:overflowPunct/>
        <w:topLinePunct w:val="0"/>
        <w:autoSpaceDE/>
        <w:autoSpaceDN/>
        <w:bidi w:val="0"/>
        <w:adjustRightInd/>
        <w:snapToGrid w:val="0"/>
        <w:spacing w:line="560" w:lineRule="exact"/>
        <w:ind w:right="0" w:rightChars="0" w:firstLine="600" w:firstLineChars="200"/>
        <w:textAlignment w:val="auto"/>
        <w:outlineLvl w:val="0"/>
        <w:rPr>
          <w:rFonts w:hint="default" w:ascii="Times New Roman" w:hAnsi="Times New Roman" w:eastAsia="仿宋_GB2312" w:cs="Times New Roman"/>
          <w:b w:val="0"/>
          <w:bCs w:val="0"/>
          <w:kern w:val="2"/>
          <w:sz w:val="30"/>
          <w:szCs w:val="30"/>
          <w:shd w:val="clear" w:fill="FFFFFF"/>
          <w:lang w:val="en-US" w:eastAsia="zh-CN" w:bidi="ar-SA"/>
        </w:rPr>
      </w:pPr>
      <w:r>
        <w:rPr>
          <w:rFonts w:hint="default" w:ascii="Times New Roman" w:hAnsi="Times New Roman" w:eastAsia="仿宋_GB2312" w:cs="Times New Roman"/>
          <w:b w:val="0"/>
          <w:bCs w:val="0"/>
          <w:kern w:val="2"/>
          <w:sz w:val="30"/>
          <w:szCs w:val="30"/>
          <w:shd w:val="clear" w:fill="FFFFFF"/>
          <w:lang w:val="en-US" w:eastAsia="zh-CN" w:bidi="ar-SA"/>
        </w:rPr>
        <w:t>我委整体绩效指标围绕主要围绕以下几个方面工作：</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1.</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主管全区党的纪律检查工作，维护党的章程和其他党内法规；协助区委加强党风建设，检查党的路线、方针、政策和决议的执行情况；对本地区所有行使公权力的公职人员依法实施监察；履行监督、调查、处置职责，监督检查公职人员依法履职、秉公用权、廉洁从政以及道德操守情况，调查涉嫌贪污贿赂、滥用职权、玩忽职守、权力寻租、利益输送、徇私舞弊以及浪费国家资财等职务违法和职务犯罪行为并作出处置决定，对涉嫌职务犯罪的，移送检察机关依法提起公诉。</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2.</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受理对区属党的组织和党员领导干部违反党纪行为的检举、控告；受理党组织、党员不服党纪处分的申诉；受理对区政府各工作部门及其国家公务员、乡政府及其领导人员和区、乡政府及其各部门任命的其他人员违反行政纪律行为的检举、控告；受理国家公务员和区、乡政府及其各部门任命的其他人员不服主管行政机关给予行政处分决定的申诉，以及法律、行政法规规定的其他由监察机关受理的申诉。</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3.</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检查和处理区属党的组织和党员领导干部违反党的章程和其他党内法规的案件，决定或取消对这些案件中的党员的处分，必要时直接查处下级党的纪律检查机关管辖范围内的比较重要或复杂的案件；调查处理本地区所有行使公权力的公职人员违反行政纪律的行为。</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4.</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负责纪检监察工作理论及有关问题的调查研究工作；作出关于维护党纪的决定，制定有关制度、规定。</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5.</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对本区党员和国家公务员进行党风廉政和遵守纪律的教育；做好党的纪检、监察工作方针、政策和法律法规的宣传工作；组织和指导全区纪检监察系统干部的培训工作。</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6.</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负责区纪委区监委向区委、区政府工作部门派出（驻）的纪检监察机构的管理工作。</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7.</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按干部管理权限和分工，协助组织部门做好纪检监察干部的管理及基层纪检监察主要领导干部的考察工作。</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rPr>
      </w:pPr>
      <w:r>
        <w:rPr>
          <w:rFonts w:hint="default" w:ascii="Times New Roman" w:hAnsi="Times New Roman" w:eastAsia="仿宋_GB2312" w:cs="Times New Roman"/>
          <w:b w:val="0"/>
          <w:bCs w:val="0"/>
          <w:sz w:val="30"/>
          <w:szCs w:val="30"/>
          <w:highlight w:val="none"/>
        </w:rPr>
        <w:t>8.</w:t>
      </w:r>
      <w:r>
        <w:rPr>
          <w:rFonts w:hint="default" w:ascii="Times New Roman" w:hAnsi="Times New Roman" w:eastAsia="仿宋_GB2312" w:cs="Times New Roman"/>
          <w:b w:val="0"/>
          <w:bCs w:val="0"/>
          <w:sz w:val="30"/>
          <w:szCs w:val="30"/>
          <w:highlight w:val="none"/>
          <w:lang w:val="en-US" w:eastAsia="zh-CN"/>
        </w:rPr>
        <w:t xml:space="preserve"> </w:t>
      </w:r>
      <w:r>
        <w:rPr>
          <w:rFonts w:hint="default" w:ascii="Times New Roman" w:hAnsi="Times New Roman" w:eastAsia="仿宋_GB2312" w:cs="Times New Roman"/>
          <w:b w:val="0"/>
          <w:bCs w:val="0"/>
          <w:sz w:val="30"/>
          <w:szCs w:val="30"/>
          <w:highlight w:val="none"/>
        </w:rPr>
        <w:t>承办区委、区政府和市纪委市监委交办的其他工作。</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黑体" w:cs="Times New Roman"/>
          <w:b w:val="0"/>
          <w:bCs w:val="0"/>
          <w:color w:val="000000"/>
          <w:kern w:val="0"/>
          <w:sz w:val="30"/>
          <w:szCs w:val="30"/>
          <w:highlight w:val="none"/>
        </w:rPr>
      </w:pPr>
      <w:r>
        <w:rPr>
          <w:rFonts w:hint="default" w:ascii="Times New Roman" w:hAnsi="Times New Roman" w:eastAsia="黑体" w:cs="Times New Roman"/>
          <w:b w:val="0"/>
          <w:bCs w:val="0"/>
          <w:color w:val="000000"/>
          <w:kern w:val="0"/>
          <w:sz w:val="30"/>
          <w:szCs w:val="30"/>
          <w:highlight w:val="none"/>
        </w:rPr>
        <w:t>二、当年预算执行情况</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2024年全年预算</w:t>
      </w:r>
      <w:r>
        <w:rPr>
          <w:rFonts w:hint="default" w:ascii="Times New Roman" w:hAnsi="Times New Roman" w:eastAsia="仿宋_GB2312" w:cs="Times New Roman"/>
          <w:b w:val="0"/>
          <w:bCs w:val="0"/>
          <w:strike w:val="0"/>
          <w:dstrike w:val="0"/>
          <w:sz w:val="32"/>
          <w:szCs w:val="32"/>
          <w:highlight w:val="none"/>
          <w:u w:val="none"/>
        </w:rPr>
        <w:t>7432.99万元</w:t>
      </w:r>
      <w:r>
        <w:rPr>
          <w:rFonts w:hint="default" w:ascii="Times New Roman" w:hAnsi="Times New Roman" w:eastAsia="仿宋_GB2312" w:cs="Times New Roman"/>
          <w:b w:val="0"/>
          <w:bCs w:val="0"/>
          <w:sz w:val="30"/>
          <w:szCs w:val="30"/>
          <w:highlight w:val="none"/>
          <w:u w:val="none"/>
          <w:lang w:val="en-US" w:eastAsia="zh-CN"/>
        </w:rPr>
        <w:t>，其中，</w:t>
      </w:r>
      <w:r>
        <w:rPr>
          <w:rFonts w:hint="default" w:ascii="Times New Roman" w:hAnsi="Times New Roman" w:eastAsia="仿宋_GB2312" w:cs="Times New Roman"/>
          <w:b w:val="0"/>
          <w:bCs w:val="0"/>
          <w:sz w:val="32"/>
          <w:szCs w:val="32"/>
          <w:highlight w:val="none"/>
          <w:u w:val="none"/>
        </w:rPr>
        <w:t>基本支出</w:t>
      </w:r>
      <w:r>
        <w:rPr>
          <w:rFonts w:hint="default" w:ascii="Times New Roman" w:hAnsi="Times New Roman" w:eastAsia="仿宋_GB2312" w:cs="Times New Roman"/>
          <w:b w:val="0"/>
          <w:bCs w:val="0"/>
          <w:strike w:val="0"/>
          <w:dstrike w:val="0"/>
          <w:sz w:val="32"/>
          <w:szCs w:val="32"/>
          <w:highlight w:val="none"/>
          <w:u w:val="none"/>
        </w:rPr>
        <w:t>6300.28</w:t>
      </w:r>
      <w:r>
        <w:rPr>
          <w:rFonts w:hint="default" w:ascii="Times New Roman" w:hAnsi="Times New Roman" w:eastAsia="仿宋_GB2312" w:cs="Times New Roman"/>
          <w:b w:val="0"/>
          <w:bCs w:val="0"/>
          <w:sz w:val="32"/>
          <w:szCs w:val="32"/>
          <w:highlight w:val="none"/>
          <w:u w:val="none"/>
        </w:rPr>
        <w:t>万元</w:t>
      </w:r>
      <w:r>
        <w:rPr>
          <w:rFonts w:hint="default" w:ascii="Times New Roman" w:hAnsi="Times New Roman" w:eastAsia="仿宋_GB2312" w:cs="Times New Roman"/>
          <w:b w:val="0"/>
          <w:bCs w:val="0"/>
          <w:sz w:val="30"/>
          <w:szCs w:val="30"/>
          <w:highlight w:val="none"/>
          <w:u w:val="none"/>
          <w:lang w:val="en-US" w:eastAsia="zh-CN"/>
        </w:rPr>
        <w:t>，</w:t>
      </w:r>
      <w:r>
        <w:rPr>
          <w:rFonts w:hint="default" w:ascii="Times New Roman" w:hAnsi="Times New Roman" w:eastAsia="仿宋_GB2312" w:cs="Times New Roman"/>
          <w:b w:val="0"/>
          <w:bCs w:val="0"/>
          <w:sz w:val="32"/>
          <w:szCs w:val="32"/>
          <w:highlight w:val="none"/>
          <w:u w:val="none"/>
        </w:rPr>
        <w:t>项目支出1132.71万元</w:t>
      </w:r>
      <w:r>
        <w:rPr>
          <w:rFonts w:hint="default" w:ascii="Times New Roman" w:hAnsi="Times New Roman" w:eastAsia="仿宋_GB2312" w:cs="Times New Roman"/>
          <w:b w:val="0"/>
          <w:bCs w:val="0"/>
          <w:sz w:val="30"/>
          <w:szCs w:val="30"/>
          <w:highlight w:val="none"/>
          <w:u w:val="none"/>
          <w:lang w:val="en-US" w:eastAsia="zh-CN"/>
        </w:rPr>
        <w:t>，其他支出0万元。资金总体支出</w:t>
      </w:r>
      <w:r>
        <w:rPr>
          <w:rFonts w:hint="default" w:ascii="Times New Roman" w:hAnsi="Times New Roman" w:eastAsia="仿宋_GB2312" w:cs="Times New Roman"/>
          <w:b w:val="0"/>
          <w:bCs w:val="0"/>
          <w:sz w:val="32"/>
          <w:szCs w:val="32"/>
          <w:highlight w:val="none"/>
          <w:u w:val="none"/>
        </w:rPr>
        <w:t>10437.81万元</w:t>
      </w:r>
      <w:r>
        <w:rPr>
          <w:rFonts w:hint="default" w:ascii="Times New Roman" w:hAnsi="Times New Roman" w:eastAsia="仿宋_GB2312" w:cs="Times New Roman"/>
          <w:b w:val="0"/>
          <w:bCs w:val="0"/>
          <w:sz w:val="30"/>
          <w:szCs w:val="30"/>
          <w:highlight w:val="none"/>
          <w:u w:val="none"/>
          <w:lang w:val="en-US" w:eastAsia="zh-CN"/>
        </w:rPr>
        <w:t>，其中，基本支出</w:t>
      </w:r>
      <w:r>
        <w:rPr>
          <w:rFonts w:hint="default" w:ascii="Times New Roman" w:hAnsi="Times New Roman" w:eastAsia="仿宋_GB2312" w:cs="Times New Roman"/>
          <w:b w:val="0"/>
          <w:bCs w:val="0"/>
          <w:strike w:val="0"/>
          <w:dstrike w:val="0"/>
          <w:sz w:val="32"/>
          <w:szCs w:val="32"/>
          <w:highlight w:val="none"/>
          <w:u w:val="none"/>
        </w:rPr>
        <w:t>8075.96</w:t>
      </w:r>
      <w:r>
        <w:rPr>
          <w:rFonts w:hint="default" w:ascii="Times New Roman" w:hAnsi="Times New Roman" w:eastAsia="仿宋_GB2312" w:cs="Times New Roman"/>
          <w:b w:val="0"/>
          <w:bCs w:val="0"/>
          <w:sz w:val="30"/>
          <w:szCs w:val="30"/>
          <w:highlight w:val="none"/>
          <w:u w:val="none"/>
          <w:lang w:val="en-US" w:eastAsia="zh-CN"/>
        </w:rPr>
        <w:t>万元，项目支出</w:t>
      </w:r>
      <w:r>
        <w:rPr>
          <w:rFonts w:hint="default" w:ascii="Times New Roman" w:hAnsi="Times New Roman" w:eastAsia="仿宋_GB2312" w:cs="Times New Roman"/>
          <w:b w:val="0"/>
          <w:bCs w:val="0"/>
          <w:strike w:val="0"/>
          <w:dstrike w:val="0"/>
          <w:sz w:val="32"/>
          <w:szCs w:val="32"/>
          <w:highlight w:val="none"/>
          <w:u w:val="none"/>
        </w:rPr>
        <w:t>2361.85</w:t>
      </w:r>
      <w:r>
        <w:rPr>
          <w:rFonts w:hint="default" w:ascii="Times New Roman" w:hAnsi="Times New Roman" w:eastAsia="仿宋_GB2312" w:cs="Times New Roman"/>
          <w:b w:val="0"/>
          <w:bCs w:val="0"/>
          <w:sz w:val="30"/>
          <w:szCs w:val="30"/>
          <w:highlight w:val="none"/>
          <w:lang w:val="en-US" w:eastAsia="zh-CN"/>
        </w:rPr>
        <w:t>万元，其他支出0万元。预算执行率100%。</w:t>
      </w:r>
    </w:p>
    <w:p>
      <w:pPr>
        <w:pageBreakBefore w:val="0"/>
        <w:widowControl w:val="0"/>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仿宋_GB2312" w:cs="Times New Roman"/>
          <w:b w:val="0"/>
          <w:bCs w:val="0"/>
          <w:sz w:val="30"/>
          <w:szCs w:val="30"/>
          <w:highlight w:val="none"/>
          <w:shd w:val="clear" w:fill="FFFFFF"/>
          <w:lang w:val="en-US" w:eastAsia="zh-CN"/>
        </w:rPr>
      </w:pPr>
      <w:r>
        <w:rPr>
          <w:rFonts w:hint="default" w:ascii="Times New Roman" w:hAnsi="Times New Roman" w:eastAsia="黑体" w:cs="Times New Roman"/>
          <w:b w:val="0"/>
          <w:bCs w:val="0"/>
          <w:color w:val="000000"/>
          <w:kern w:val="0"/>
          <w:sz w:val="30"/>
          <w:szCs w:val="30"/>
          <w:highlight w:val="none"/>
        </w:rPr>
        <w:t>三、整体绩效目标实现情况</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highlight w:val="none"/>
          <w:shd w:val="clear" w:fill="FFFFFF"/>
          <w:lang w:val="en-US" w:eastAsia="zh-CN"/>
        </w:rPr>
      </w:pPr>
      <w:r>
        <w:rPr>
          <w:rFonts w:hint="default" w:ascii="Times New Roman" w:hAnsi="Times New Roman" w:eastAsia="仿宋_GB2312" w:cs="Times New Roman"/>
          <w:b w:val="0"/>
          <w:bCs w:val="0"/>
          <w:sz w:val="30"/>
          <w:szCs w:val="30"/>
          <w:highlight w:val="none"/>
          <w:shd w:val="clear" w:fill="FFFFFF"/>
          <w:lang w:val="en-US" w:eastAsia="zh-CN"/>
        </w:rPr>
        <w:t>部门整体支出绩效目标完成情况及绩效实现情况主要体现在完成和实现全年工作任务目标，我委部门整体支出绩效目标从产出完成情况分析和效果实现情况分析等方面逐项分析，均已完成既定目标。</w:t>
      </w:r>
    </w:p>
    <w:p>
      <w:pPr>
        <w:pageBreakBefore w:val="0"/>
        <w:widowControl w:val="0"/>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黑体" w:cs="Times New Roman"/>
          <w:b w:val="0"/>
          <w:bCs w:val="0"/>
          <w:color w:val="000000"/>
          <w:kern w:val="0"/>
          <w:sz w:val="30"/>
          <w:szCs w:val="30"/>
          <w:highlight w:val="none"/>
        </w:rPr>
      </w:pPr>
      <w:r>
        <w:rPr>
          <w:rFonts w:hint="default" w:ascii="Times New Roman" w:hAnsi="Times New Roman" w:eastAsia="黑体" w:cs="Times New Roman"/>
          <w:b w:val="0"/>
          <w:bCs w:val="0"/>
          <w:color w:val="000000"/>
          <w:kern w:val="0"/>
          <w:sz w:val="30"/>
          <w:szCs w:val="30"/>
          <w:highlight w:val="none"/>
        </w:rPr>
        <w:t>四、预算管理情况分析</w:t>
      </w:r>
    </w:p>
    <w:p>
      <w:pPr>
        <w:pageBreakBefore w:val="0"/>
        <w:widowControl w:val="0"/>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楷体_GB2312" w:cs="Times New Roman"/>
          <w:b w:val="0"/>
          <w:bCs w:val="0"/>
          <w:sz w:val="30"/>
          <w:szCs w:val="30"/>
          <w:highlight w:val="none"/>
        </w:rPr>
      </w:pPr>
      <w:r>
        <w:rPr>
          <w:rFonts w:hint="default" w:ascii="Times New Roman" w:hAnsi="Times New Roman" w:eastAsia="楷体_GB2312" w:cs="Times New Roman"/>
          <w:b w:val="0"/>
          <w:bCs w:val="0"/>
          <w:sz w:val="30"/>
          <w:szCs w:val="30"/>
          <w:highlight w:val="none"/>
        </w:rPr>
        <w:t>（一）财务管理</w:t>
      </w:r>
    </w:p>
    <w:p>
      <w:pPr>
        <w:pStyle w:val="2"/>
        <w:pageBreakBefore w:val="0"/>
        <w:widowControl w:val="0"/>
        <w:kinsoku/>
        <w:wordWrap/>
        <w:overflowPunct/>
        <w:topLinePunct w:val="0"/>
        <w:autoSpaceDE/>
        <w:autoSpaceDN/>
        <w:bidi w:val="0"/>
        <w:adjustRightInd/>
        <w:spacing w:line="560" w:lineRule="exact"/>
        <w:ind w:right="0" w:rightChars="0" w:firstLine="560"/>
        <w:textAlignment w:val="auto"/>
        <w:rPr>
          <w:rFonts w:hint="default" w:ascii="Times New Roman" w:hAnsi="Times New Roman" w:eastAsia="仿宋_GB2312" w:cs="Times New Roman"/>
          <w:b w:val="0"/>
          <w:bCs w:val="0"/>
          <w:color w:val="000000"/>
          <w:kern w:val="0"/>
          <w:sz w:val="30"/>
          <w:szCs w:val="30"/>
          <w:highlight w:val="none"/>
        </w:rPr>
      </w:pPr>
      <w:r>
        <w:rPr>
          <w:rFonts w:hint="default" w:ascii="Times New Roman" w:hAnsi="Times New Roman" w:eastAsia="仿宋_GB2312" w:cs="Times New Roman"/>
          <w:b w:val="0"/>
          <w:bCs w:val="0"/>
          <w:color w:val="000000"/>
          <w:kern w:val="0"/>
          <w:sz w:val="30"/>
          <w:szCs w:val="30"/>
          <w:highlight w:val="none"/>
        </w:rPr>
        <w:t>1.</w:t>
      </w:r>
      <w:r>
        <w:rPr>
          <w:rFonts w:hint="default" w:ascii="Times New Roman" w:hAnsi="Times New Roman" w:eastAsia="仿宋_GB2312" w:cs="Times New Roman"/>
          <w:b w:val="0"/>
          <w:bCs w:val="0"/>
          <w:color w:val="000000"/>
          <w:kern w:val="0"/>
          <w:sz w:val="30"/>
          <w:szCs w:val="30"/>
          <w:highlight w:val="none"/>
          <w:lang w:val="en-US" w:eastAsia="zh-CN"/>
        </w:rPr>
        <w:t xml:space="preserve"> </w:t>
      </w:r>
      <w:r>
        <w:rPr>
          <w:rFonts w:hint="default" w:ascii="Times New Roman" w:hAnsi="Times New Roman" w:eastAsia="仿宋_GB2312" w:cs="Times New Roman"/>
          <w:b w:val="0"/>
          <w:bCs w:val="0"/>
          <w:color w:val="000000"/>
          <w:kern w:val="0"/>
          <w:sz w:val="30"/>
          <w:szCs w:val="30"/>
          <w:highlight w:val="none"/>
        </w:rPr>
        <w:t>财务管理制度健全</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为做好预算管理工作，规范预算的执行程序，提高项目执行效率，严格执行《机关日常制度汇编》一系列财务、采购管理、内部审计等内部控制制度。</w:t>
      </w:r>
    </w:p>
    <w:p>
      <w:pPr>
        <w:pStyle w:val="2"/>
        <w:pageBreakBefore w:val="0"/>
        <w:widowControl w:val="0"/>
        <w:numPr>
          <w:ilvl w:val="0"/>
          <w:numId w:val="2"/>
        </w:numPr>
        <w:kinsoku/>
        <w:wordWrap/>
        <w:overflowPunct/>
        <w:topLinePunct w:val="0"/>
        <w:autoSpaceDE/>
        <w:autoSpaceDN/>
        <w:bidi w:val="0"/>
        <w:adjustRightInd/>
        <w:spacing w:line="560" w:lineRule="exact"/>
        <w:ind w:right="0" w:rightChars="0" w:firstLine="560"/>
        <w:textAlignment w:val="auto"/>
        <w:rPr>
          <w:rFonts w:hint="default" w:ascii="Times New Roman" w:hAnsi="Times New Roman" w:eastAsia="仿宋_GB2312" w:cs="Times New Roman"/>
          <w:b w:val="0"/>
          <w:bCs w:val="0"/>
          <w:color w:val="000000"/>
          <w:kern w:val="0"/>
          <w:sz w:val="30"/>
          <w:szCs w:val="30"/>
          <w:highlight w:val="none"/>
        </w:rPr>
      </w:pPr>
      <w:r>
        <w:rPr>
          <w:rFonts w:hint="default" w:ascii="Times New Roman" w:hAnsi="Times New Roman" w:eastAsia="仿宋_GB2312" w:cs="Times New Roman"/>
          <w:b w:val="0"/>
          <w:bCs w:val="0"/>
          <w:color w:val="000000"/>
          <w:kern w:val="0"/>
          <w:sz w:val="30"/>
          <w:szCs w:val="30"/>
          <w:highlight w:val="none"/>
        </w:rPr>
        <w:t>资金使用合规和安全</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在2024年部门预算管理中，能够将厉行节约与部门预算管理相结合，从严从紧编制预算，严格控制</w:t>
      </w:r>
      <w:r>
        <w:rPr>
          <w:rFonts w:hint="eastAsia" w:eastAsia="仿宋_GB2312" w:cs="Times New Roman"/>
          <w:b w:val="0"/>
          <w:bCs w:val="0"/>
          <w:sz w:val="30"/>
          <w:szCs w:val="30"/>
          <w:highlight w:val="none"/>
          <w:lang w:val="en-US" w:eastAsia="zh-CN"/>
        </w:rPr>
        <w:t>“</w:t>
      </w:r>
      <w:r>
        <w:rPr>
          <w:rFonts w:hint="default" w:ascii="Times New Roman" w:hAnsi="Times New Roman" w:eastAsia="仿宋_GB2312" w:cs="Times New Roman"/>
          <w:b w:val="0"/>
          <w:bCs w:val="0"/>
          <w:sz w:val="30"/>
          <w:szCs w:val="30"/>
          <w:highlight w:val="none"/>
          <w:lang w:val="en-US" w:eastAsia="zh-CN"/>
        </w:rPr>
        <w:t>三公</w:t>
      </w:r>
      <w:r>
        <w:rPr>
          <w:rFonts w:hint="eastAsia" w:eastAsia="仿宋_GB2312" w:cs="Times New Roman"/>
          <w:b w:val="0"/>
          <w:bCs w:val="0"/>
          <w:sz w:val="30"/>
          <w:szCs w:val="30"/>
          <w:highlight w:val="none"/>
          <w:lang w:val="en-US" w:eastAsia="zh-CN"/>
        </w:rPr>
        <w:t>”</w:t>
      </w:r>
      <w:r>
        <w:rPr>
          <w:rFonts w:hint="default" w:ascii="Times New Roman" w:hAnsi="Times New Roman" w:eastAsia="仿宋_GB2312" w:cs="Times New Roman"/>
          <w:b w:val="0"/>
          <w:bCs w:val="0"/>
          <w:sz w:val="30"/>
          <w:szCs w:val="30"/>
          <w:highlight w:val="none"/>
          <w:lang w:val="en-US" w:eastAsia="zh-CN"/>
        </w:rPr>
        <w:t>经费等一般性支出，通过加大执行环节控制，提高预算资金使用的合规性和安全性。严格执行专项资金管理制度，不挪用和挤占项目资金，确保资金使用安全。</w:t>
      </w:r>
    </w:p>
    <w:p>
      <w:pPr>
        <w:pStyle w:val="2"/>
        <w:pageBreakBefore w:val="0"/>
        <w:widowControl w:val="0"/>
        <w:numPr>
          <w:ilvl w:val="0"/>
          <w:numId w:val="2"/>
        </w:numPr>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color w:val="000000"/>
          <w:kern w:val="0"/>
          <w:sz w:val="30"/>
          <w:szCs w:val="30"/>
          <w:highlight w:val="none"/>
        </w:rPr>
      </w:pPr>
      <w:r>
        <w:rPr>
          <w:rFonts w:hint="default" w:ascii="Times New Roman" w:hAnsi="Times New Roman" w:eastAsia="仿宋_GB2312" w:cs="Times New Roman"/>
          <w:b w:val="0"/>
          <w:bCs w:val="0"/>
          <w:color w:val="000000"/>
          <w:kern w:val="0"/>
          <w:sz w:val="30"/>
          <w:szCs w:val="30"/>
          <w:highlight w:val="none"/>
        </w:rPr>
        <w:t>会计基础信息完善</w:t>
      </w:r>
    </w:p>
    <w:p>
      <w:pPr>
        <w:pStyle w:val="2"/>
        <w:pageBreakBefore w:val="0"/>
        <w:widowControl w:val="0"/>
        <w:kinsoku/>
        <w:wordWrap/>
        <w:overflowPunct/>
        <w:topLinePunct w:val="0"/>
        <w:autoSpaceDE/>
        <w:autoSpaceDN/>
        <w:bidi w:val="0"/>
        <w:adjustRightInd/>
        <w:spacing w:line="560" w:lineRule="exact"/>
        <w:ind w:right="0" w:rightChars="0" w:firstLine="560"/>
        <w:textAlignment w:val="auto"/>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在内控制度建设的基础上，结合预算执行中发现的问题，能够进一步完善财务管理制度。同时，加强会计核算工作，保证会计资料准确、完整，部门基础信息管理较好。</w:t>
      </w:r>
    </w:p>
    <w:p>
      <w:pPr>
        <w:pageBreakBefore w:val="0"/>
        <w:widowControl w:val="0"/>
        <w:numPr>
          <w:ilvl w:val="0"/>
          <w:numId w:val="3"/>
        </w:numPr>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楷体_GB2312" w:cs="Times New Roman"/>
          <w:b w:val="0"/>
          <w:bCs w:val="0"/>
          <w:sz w:val="30"/>
          <w:szCs w:val="30"/>
          <w:highlight w:val="none"/>
          <w:lang w:eastAsia="zh-CN"/>
        </w:rPr>
      </w:pPr>
      <w:r>
        <w:rPr>
          <w:rFonts w:hint="default" w:ascii="Times New Roman" w:hAnsi="Times New Roman" w:eastAsia="楷体_GB2312" w:cs="Times New Roman"/>
          <w:b w:val="0"/>
          <w:bCs w:val="0"/>
          <w:sz w:val="30"/>
          <w:szCs w:val="30"/>
          <w:highlight w:val="none"/>
        </w:rPr>
        <w:t>资产管理</w:t>
      </w:r>
    </w:p>
    <w:p>
      <w:pPr>
        <w:pStyle w:val="2"/>
        <w:pageBreakBefore w:val="0"/>
        <w:widowControl w:val="0"/>
        <w:kinsoku/>
        <w:wordWrap/>
        <w:overflowPunct/>
        <w:topLinePunct w:val="0"/>
        <w:autoSpaceDE/>
        <w:autoSpaceDN/>
        <w:bidi w:val="0"/>
        <w:adjustRightInd/>
        <w:spacing w:line="560" w:lineRule="exact"/>
        <w:ind w:right="0" w:rightChars="0" w:firstLine="560"/>
        <w:textAlignment w:val="auto"/>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在资产管理工作中，按时完成部门资产动态系统的年度报告工作，严格按照资产配置标准配置资产。</w:t>
      </w:r>
    </w:p>
    <w:p>
      <w:pPr>
        <w:pageBreakBefore w:val="0"/>
        <w:widowControl w:val="0"/>
        <w:numPr>
          <w:ilvl w:val="0"/>
          <w:numId w:val="3"/>
        </w:numPr>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楷体_GB2312" w:cs="Times New Roman"/>
          <w:b w:val="0"/>
          <w:bCs w:val="0"/>
          <w:sz w:val="30"/>
          <w:szCs w:val="30"/>
          <w:highlight w:val="none"/>
        </w:rPr>
      </w:pPr>
      <w:r>
        <w:rPr>
          <w:rFonts w:hint="default" w:ascii="Times New Roman" w:hAnsi="Times New Roman" w:eastAsia="楷体_GB2312" w:cs="Times New Roman"/>
          <w:b w:val="0"/>
          <w:bCs w:val="0"/>
          <w:sz w:val="30"/>
          <w:szCs w:val="30"/>
          <w:highlight w:val="none"/>
        </w:rPr>
        <w:t>绩效管理</w:t>
      </w:r>
    </w:p>
    <w:p>
      <w:pPr>
        <w:pStyle w:val="2"/>
        <w:pageBreakBefore w:val="0"/>
        <w:widowControl w:val="0"/>
        <w:kinsoku/>
        <w:wordWrap/>
        <w:overflowPunct/>
        <w:topLinePunct w:val="0"/>
        <w:autoSpaceDE/>
        <w:autoSpaceDN/>
        <w:bidi w:val="0"/>
        <w:adjustRightInd/>
        <w:spacing w:line="560" w:lineRule="exact"/>
        <w:ind w:right="0" w:rightChars="0" w:firstLine="560"/>
        <w:textAlignment w:val="auto"/>
        <w:rPr>
          <w:rFonts w:hint="default" w:ascii="Times New Roman" w:hAnsi="Times New Roman" w:cs="Times New Roman"/>
          <w:b w:val="0"/>
          <w:bCs w:val="0"/>
        </w:rPr>
      </w:pPr>
      <w:r>
        <w:rPr>
          <w:rFonts w:hint="default" w:ascii="Times New Roman" w:hAnsi="Times New Roman" w:eastAsia="仿宋_GB2312" w:cs="Times New Roman"/>
          <w:b w:val="0"/>
          <w:bCs w:val="0"/>
          <w:kern w:val="2"/>
          <w:sz w:val="30"/>
          <w:szCs w:val="30"/>
          <w:highlight w:val="none"/>
          <w:lang w:val="en-US" w:eastAsia="zh-CN" w:bidi="ar-SA"/>
        </w:rPr>
        <w:t>在项目管理方面，做到事前控制、事中监督、事后评价，重视科学决策，进一步细化项目预算内容和规划目标，合理设定部门整体绩效目标、产出指标等。</w:t>
      </w:r>
    </w:p>
    <w:p>
      <w:pPr>
        <w:pageBreakBefore w:val="0"/>
        <w:widowControl w:val="0"/>
        <w:numPr>
          <w:ilvl w:val="0"/>
          <w:numId w:val="3"/>
        </w:numPr>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楷体_GB2312" w:cs="Times New Roman"/>
          <w:b w:val="0"/>
          <w:bCs w:val="0"/>
          <w:sz w:val="30"/>
          <w:szCs w:val="30"/>
          <w:highlight w:val="none"/>
          <w:lang w:val="en-US" w:eastAsia="zh-CN"/>
        </w:rPr>
      </w:pPr>
      <w:r>
        <w:rPr>
          <w:rFonts w:hint="default" w:ascii="Times New Roman" w:hAnsi="Times New Roman" w:eastAsia="楷体_GB2312" w:cs="Times New Roman"/>
          <w:b w:val="0"/>
          <w:bCs w:val="0"/>
          <w:sz w:val="30"/>
          <w:szCs w:val="30"/>
          <w:highlight w:val="none"/>
        </w:rPr>
        <w:t>结转结余率</w:t>
      </w:r>
    </w:p>
    <w:p>
      <w:pPr>
        <w:pStyle w:val="2"/>
        <w:pageBreakBefore w:val="0"/>
        <w:widowControl w:val="0"/>
        <w:kinsoku/>
        <w:wordWrap/>
        <w:overflowPunct/>
        <w:topLinePunct w:val="0"/>
        <w:autoSpaceDE/>
        <w:autoSpaceDN/>
        <w:bidi w:val="0"/>
        <w:adjustRightInd/>
        <w:spacing w:line="560" w:lineRule="exact"/>
        <w:ind w:right="0" w:rightChars="0" w:firstLine="560"/>
        <w:textAlignment w:val="auto"/>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2024年度年末结转和结余财政性资金0万元，部门结转结余率0%。</w:t>
      </w:r>
    </w:p>
    <w:p>
      <w:pPr>
        <w:pageBreakBefore w:val="0"/>
        <w:widowControl w:val="0"/>
        <w:numPr>
          <w:ilvl w:val="0"/>
          <w:numId w:val="3"/>
        </w:numPr>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楷体_GB2312" w:cs="Times New Roman"/>
          <w:b w:val="0"/>
          <w:bCs w:val="0"/>
          <w:sz w:val="30"/>
          <w:szCs w:val="30"/>
          <w:highlight w:val="none"/>
          <w:lang w:val="en-US" w:eastAsia="zh-CN"/>
        </w:rPr>
      </w:pPr>
      <w:r>
        <w:rPr>
          <w:rFonts w:hint="default" w:ascii="Times New Roman" w:hAnsi="Times New Roman" w:eastAsia="楷体_GB2312" w:cs="Times New Roman"/>
          <w:b w:val="0"/>
          <w:bCs w:val="0"/>
          <w:sz w:val="30"/>
          <w:szCs w:val="30"/>
          <w:highlight w:val="none"/>
        </w:rPr>
        <w:t>部门预决算差异率</w:t>
      </w:r>
      <w:r>
        <w:rPr>
          <w:rFonts w:hint="default" w:ascii="Times New Roman" w:hAnsi="Times New Roman" w:eastAsia="楷体_GB2312" w:cs="Times New Roman"/>
          <w:b w:val="0"/>
          <w:bCs w:val="0"/>
          <w:sz w:val="30"/>
          <w:szCs w:val="30"/>
          <w:highlight w:val="none"/>
          <w:lang w:eastAsia="zh-CN"/>
        </w:rPr>
        <w:t>：</w:t>
      </w:r>
    </w:p>
    <w:p>
      <w:pPr>
        <w:pStyle w:val="2"/>
        <w:pageBreakBefore w:val="0"/>
        <w:widowControl w:val="0"/>
        <w:kinsoku/>
        <w:wordWrap/>
        <w:overflowPunct/>
        <w:topLinePunct w:val="0"/>
        <w:autoSpaceDE/>
        <w:autoSpaceDN/>
        <w:bidi w:val="0"/>
        <w:adjustRightInd/>
        <w:spacing w:line="560" w:lineRule="exact"/>
        <w:ind w:right="0" w:rightChars="0" w:firstLine="560"/>
        <w:textAlignment w:val="auto"/>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2024年度部门预决算差异3004.82万元，主要原因是人员增加及机构运行保障支出增加，存在依据实际工作，安排专项资金预算的情况。</w:t>
      </w:r>
    </w:p>
    <w:p>
      <w:pPr>
        <w:pageBreakBefore w:val="0"/>
        <w:widowControl w:val="0"/>
        <w:kinsoku/>
        <w:wordWrap/>
        <w:overflowPunct/>
        <w:topLinePunct w:val="0"/>
        <w:autoSpaceDE/>
        <w:autoSpaceDN/>
        <w:bidi w:val="0"/>
        <w:adjustRightInd/>
        <w:spacing w:line="560" w:lineRule="exact"/>
        <w:ind w:left="105" w:leftChars="50" w:right="0" w:rightChars="0" w:firstLine="450" w:firstLineChars="150"/>
        <w:textAlignment w:val="auto"/>
        <w:rPr>
          <w:rFonts w:hint="default" w:ascii="Times New Roman" w:hAnsi="Times New Roman" w:eastAsia="黑体" w:cs="Times New Roman"/>
          <w:b w:val="0"/>
          <w:bCs w:val="0"/>
          <w:sz w:val="30"/>
          <w:szCs w:val="30"/>
          <w:highlight w:val="none"/>
        </w:rPr>
      </w:pPr>
      <w:r>
        <w:rPr>
          <w:rFonts w:hint="default" w:ascii="Times New Roman" w:hAnsi="Times New Roman" w:eastAsia="黑体" w:cs="Times New Roman"/>
          <w:b w:val="0"/>
          <w:bCs w:val="0"/>
          <w:sz w:val="30"/>
          <w:szCs w:val="30"/>
          <w:highlight w:val="none"/>
        </w:rPr>
        <w:t>五、总体评价结论</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2024年初设定的工作目标、实现方式及工作进度按照全年计划顺利开展，项目资金支出进度按照预定目标完成，资金绩效分别从产出指标、成本指标、效益指标、满意度指标几个方面进行评价，均按照要求完成。</w:t>
      </w:r>
    </w:p>
    <w:p>
      <w:pPr>
        <w:pageBreakBefore w:val="0"/>
        <w:widowControl w:val="0"/>
        <w:kinsoku/>
        <w:wordWrap/>
        <w:overflowPunct/>
        <w:topLinePunct w:val="0"/>
        <w:autoSpaceDE/>
        <w:autoSpaceDN/>
        <w:bidi w:val="0"/>
        <w:adjustRightInd/>
        <w:spacing w:line="560" w:lineRule="exact"/>
        <w:ind w:right="0" w:rightChars="0" w:firstLine="600" w:firstLineChars="200"/>
        <w:textAlignment w:val="auto"/>
        <w:rPr>
          <w:rFonts w:hint="default" w:ascii="Times New Roman" w:hAnsi="Times New Roman" w:eastAsia="仿宋_GB2312" w:cs="Times New Roman"/>
          <w:b w:val="0"/>
          <w:bCs w:val="0"/>
          <w:color w:val="000000"/>
          <w:kern w:val="0"/>
          <w:sz w:val="30"/>
          <w:szCs w:val="30"/>
          <w:highlight w:val="none"/>
        </w:rPr>
      </w:pPr>
      <w:r>
        <w:rPr>
          <w:rFonts w:hint="default" w:ascii="Times New Roman" w:hAnsi="Times New Roman" w:eastAsia="黑体" w:cs="Times New Roman"/>
          <w:b w:val="0"/>
          <w:bCs w:val="0"/>
          <w:color w:val="000000"/>
          <w:kern w:val="0"/>
          <w:sz w:val="30"/>
          <w:szCs w:val="30"/>
          <w:highlight w:val="none"/>
        </w:rPr>
        <w:t>六、措施建议</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lang w:eastAsia="zh-CN"/>
        </w:rPr>
      </w:pPr>
      <w:r>
        <w:rPr>
          <w:rFonts w:hint="default" w:ascii="Times New Roman" w:hAnsi="Times New Roman" w:eastAsia="仿宋_GB2312" w:cs="Times New Roman"/>
          <w:b w:val="0"/>
          <w:bCs w:val="0"/>
          <w:sz w:val="30"/>
          <w:szCs w:val="30"/>
          <w:highlight w:val="none"/>
          <w:lang w:eastAsia="zh-CN"/>
        </w:rPr>
        <w:t>结合我委财政资金使用情况，下一步将着重从以下几方面加强资金使用管理：</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1. 科学谋划预算项目，强化项目资金绩效管理；</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2. 做实落细项目申报，提高项目资金使用效率；</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3. 严格落实预算批复，加强预算资金统筹使用</w:t>
      </w:r>
      <w:bookmarkStart w:id="0" w:name="_GoBack"/>
      <w:bookmarkEnd w:id="0"/>
      <w:r>
        <w:rPr>
          <w:rFonts w:hint="default" w:ascii="Times New Roman" w:hAnsi="Times New Roman" w:eastAsia="仿宋_GB2312" w:cs="Times New Roman"/>
          <w:b w:val="0"/>
          <w:bCs w:val="0"/>
          <w:sz w:val="30"/>
          <w:szCs w:val="30"/>
          <w:highlight w:val="none"/>
          <w:lang w:val="en-US" w:eastAsia="zh-CN"/>
        </w:rPr>
        <w:t>。</w:t>
      </w:r>
    </w:p>
    <w:p>
      <w:pPr>
        <w:pageBreakBefore w:val="0"/>
        <w:widowControl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Times New Roman" w:hAnsi="Times New Roman" w:eastAsia="仿宋_GB2312" w:cs="Times New Roman"/>
          <w:b w:val="0"/>
          <w:bCs w:val="0"/>
          <w:sz w:val="30"/>
          <w:szCs w:val="30"/>
          <w:highlight w:val="none"/>
          <w:lang w:val="en-US" w:eastAsia="zh-CN"/>
        </w:rPr>
      </w:pPr>
    </w:p>
    <w:p>
      <w:pPr>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cs="Times New Roman"/>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方正书宋_GBK">
    <w:altName w:val="Arial Unicode MS"/>
    <w:panose1 w:val="02000000000000000000"/>
    <w:charset w:val="86"/>
    <w:family w:val="auto"/>
    <w:pitch w:val="default"/>
    <w:sig w:usb0="00000000" w:usb1="00000000" w:usb2="00000000" w:usb3="00000000" w:csb0="00040000" w:csb1="00000000"/>
  </w:font>
  <w:font w:name="方正黑体_GBK">
    <w:altName w:val="Arial Unicode MS"/>
    <w:panose1 w:val="02000000000000000000"/>
    <w:charset w:val="86"/>
    <w:family w:val="auto"/>
    <w:pitch w:val="default"/>
    <w:sig w:usb0="00000000" w:usb1="00000000" w:usb2="00000000" w:usb3="00000000" w:csb0="00040000" w:csb1="00000000"/>
  </w:font>
  <w:font w:name="DejaVu Sans">
    <w:altName w:val="Trebuchet MS"/>
    <w:panose1 w:val="020B0603030804020204"/>
    <w:charset w:val="00"/>
    <w:family w:val="auto"/>
    <w:pitch w:val="default"/>
    <w:sig w:usb0="00000000" w:usb1="00000000" w:usb2="0A246029" w:usb3="0400200C" w:csb0="600001FF" w:csb1="DFFF0000"/>
  </w:font>
  <w:font w:name="Calibri Light">
    <w:panose1 w:val="020F0302020204030204"/>
    <w:charset w:val="00"/>
    <w:family w:val="auto"/>
    <w:pitch w:val="default"/>
    <w:sig w:usb0="A00002EF" w:usb1="4000207B" w:usb2="00000000" w:usb3="00000000" w:csb0="2000019F" w:csb1="00000000"/>
  </w:font>
  <w:font w:name="方正隶书_GBK">
    <w:altName w:val="隶书"/>
    <w:panose1 w:val="02000000000000000000"/>
    <w:charset w:val="86"/>
    <w:family w:val="auto"/>
    <w:pitch w:val="default"/>
    <w:sig w:usb0="00000000" w:usb1="00000000" w:usb2="00000000" w:usb3="00000000" w:csb0="00040000" w:csb1="00000000"/>
  </w:font>
  <w:font w:name="方正魏碑_GBK">
    <w:altName w:val="宋体"/>
    <w:panose1 w:val="02000000000000000000"/>
    <w:charset w:val="86"/>
    <w:family w:val="auto"/>
    <w:pitch w:val="default"/>
    <w:sig w:usb0="00000000" w:usb1="00000000" w:usb2="00000000" w:usb3="00000000" w:csb0="00040000" w:csb1="00000000"/>
  </w:font>
  <w:font w:name="方正行楷_GBK">
    <w:altName w:val="宋体"/>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细黑一_GBK">
    <w:altName w:val="黑体"/>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rebuchet MS">
    <w:panose1 w:val="020B0603020202020204"/>
    <w:charset w:val="00"/>
    <w:family w:val="auto"/>
    <w:pitch w:val="default"/>
    <w:sig w:usb0="00000287" w:usb1="00000000" w:usb2="00000000" w:usb3="00000000" w:csb0="2000009F" w:csb1="00000000"/>
  </w:font>
  <w:font w:name="隶书">
    <w:panose1 w:val="0201050906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Times New Romance">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可口可乐在乎体 楷体">
    <w:altName w:val="宋体"/>
    <w:panose1 w:val="020B0A05030303020204"/>
    <w:charset w:val="86"/>
    <w:family w:val="auto"/>
    <w:pitch w:val="default"/>
    <w:sig w:usb0="00000000" w:usb1="00000000" w:usb2="00000012" w:usb3="00000000" w:csb0="20040193" w:csb1="00000000"/>
  </w:font>
  <w:font w:name="幼圆">
    <w:panose1 w:val="0201050906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auto"/>
    <w:pitch w:val="default"/>
    <w:sig w:usb0="E00002FF" w:usb1="420024FF" w:usb2="00000000" w:usb3="00000000" w:csb0="2000019F" w:csb1="00000000"/>
  </w:font>
  <w:font w:name="FangSong_GB2312">
    <w:altName w:val="仿宋_GB2312"/>
    <w:panose1 w:val="02010609030101010101"/>
    <w:charset w:val="86"/>
    <w:family w:val="auto"/>
    <w:pitch w:val="default"/>
    <w:sig w:usb0="00000000" w:usb1="00000000" w:usb2="00000010" w:usb3="00000000" w:csb0="00040000" w:csb1="00000000"/>
  </w:font>
  <w:font w:name="KaiTi_GB2312">
    <w:altName w:val="宋体"/>
    <w:panose1 w:val="02010609030101010101"/>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Courier New">
    <w:panose1 w:val="020703090202050204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新宋体">
    <w:panose1 w:val="02010609030101010101"/>
    <w:charset w:val="86"/>
    <w:family w:val="auto"/>
    <w:pitch w:val="default"/>
    <w:sig w:usb0="00000003" w:usb1="288F0000" w:usb2="00000006" w:usb3="00000000" w:csb0="00040001" w:csb1="00000000"/>
  </w:font>
  <w:font w:name="方正大标宋简体">
    <w:panose1 w:val="02010601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177E1"/>
    <w:multiLevelType w:val="singleLevel"/>
    <w:tmpl w:val="65F177E1"/>
    <w:lvl w:ilvl="0" w:tentative="0">
      <w:start w:val="2"/>
      <w:numFmt w:val="decimal"/>
      <w:suff w:val="space"/>
      <w:lvlText w:val="%1."/>
      <w:lvlJc w:val="left"/>
    </w:lvl>
  </w:abstractNum>
  <w:abstractNum w:abstractNumId="1">
    <w:nsid w:val="65F17900"/>
    <w:multiLevelType w:val="singleLevel"/>
    <w:tmpl w:val="65F17900"/>
    <w:lvl w:ilvl="0" w:tentative="0">
      <w:start w:val="2"/>
      <w:numFmt w:val="chineseCounting"/>
      <w:suff w:val="nothing"/>
      <w:lvlText w:val="（%1）"/>
      <w:lvlJc w:val="left"/>
    </w:lvl>
  </w:abstractNum>
  <w:abstractNum w:abstractNumId="2">
    <w:nsid w:val="68B007F9"/>
    <w:multiLevelType w:val="singleLevel"/>
    <w:tmpl w:val="68B007F9"/>
    <w:lvl w:ilvl="0" w:tentative="0">
      <w:start w:val="2"/>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8F433F"/>
    <w:rsid w:val="01DE3D59"/>
    <w:rsid w:val="032A39C7"/>
    <w:rsid w:val="06A96DEF"/>
    <w:rsid w:val="0701274D"/>
    <w:rsid w:val="07EC19A1"/>
    <w:rsid w:val="0C1D11F8"/>
    <w:rsid w:val="0C8F22BB"/>
    <w:rsid w:val="0CED5603"/>
    <w:rsid w:val="0E3571E5"/>
    <w:rsid w:val="0F8F433F"/>
    <w:rsid w:val="10C07F31"/>
    <w:rsid w:val="169A382C"/>
    <w:rsid w:val="17046FF4"/>
    <w:rsid w:val="1BFE2881"/>
    <w:rsid w:val="1FAE2640"/>
    <w:rsid w:val="20D71D66"/>
    <w:rsid w:val="210B3E20"/>
    <w:rsid w:val="229634E1"/>
    <w:rsid w:val="2CBF7DB9"/>
    <w:rsid w:val="2F2A0A66"/>
    <w:rsid w:val="2FD4294F"/>
    <w:rsid w:val="318C6588"/>
    <w:rsid w:val="32BE4994"/>
    <w:rsid w:val="348A232F"/>
    <w:rsid w:val="355D51D5"/>
    <w:rsid w:val="355E5F12"/>
    <w:rsid w:val="3CBA28A5"/>
    <w:rsid w:val="3FCA08F5"/>
    <w:rsid w:val="445A6644"/>
    <w:rsid w:val="4A2B1E7B"/>
    <w:rsid w:val="4D236524"/>
    <w:rsid w:val="510F4657"/>
    <w:rsid w:val="54424ABA"/>
    <w:rsid w:val="5466375D"/>
    <w:rsid w:val="54CF4E94"/>
    <w:rsid w:val="55EE1001"/>
    <w:rsid w:val="577B79F7"/>
    <w:rsid w:val="58075E75"/>
    <w:rsid w:val="585C5BBC"/>
    <w:rsid w:val="58945005"/>
    <w:rsid w:val="5A0A3C75"/>
    <w:rsid w:val="5A7B7605"/>
    <w:rsid w:val="5BA475AA"/>
    <w:rsid w:val="5BB314D6"/>
    <w:rsid w:val="5CEA3C7F"/>
    <w:rsid w:val="5E371D73"/>
    <w:rsid w:val="60325EE3"/>
    <w:rsid w:val="60864443"/>
    <w:rsid w:val="61342245"/>
    <w:rsid w:val="61725AD0"/>
    <w:rsid w:val="654505ED"/>
    <w:rsid w:val="65F96588"/>
    <w:rsid w:val="6639244E"/>
    <w:rsid w:val="692B7514"/>
    <w:rsid w:val="6B46625D"/>
    <w:rsid w:val="6F273400"/>
    <w:rsid w:val="6F7A753B"/>
    <w:rsid w:val="77392A50"/>
    <w:rsid w:val="7B9A395E"/>
    <w:rsid w:val="7CE20B65"/>
    <w:rsid w:val="7DBF52A0"/>
    <w:rsid w:val="7FC0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customStyle="1" w:styleId="6">
    <w:name w:val="_Style 1"/>
    <w:basedOn w:val="1"/>
    <w:qFormat/>
    <w:uiPriority w:val="34"/>
    <w:pPr>
      <w:ind w:firstLine="420" w:firstLineChars="200"/>
    </w:pPr>
    <w:rPr>
      <w:rFonts w:ascii="Calibri" w:hAnsi="Calibri" w:eastAsia="宋体" w:cs="Times New Roman"/>
      <w:szCs w:val="22"/>
    </w:rPr>
  </w:style>
  <w:style w:type="paragraph" w:customStyle="1" w:styleId="7">
    <w:name w:val="普通(网站) Char Char"/>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2024-03-01T03:16:00Z</dcterms:created>
  <dc:creator>Administrator</dc:creator>
  <cp:lastModifiedBy>Administrator</cp:lastModifiedBy>
  <cp:lastPrinted>2025-02-14T03:29:00Z</cp:lastPrinted>
  <dcterms:modified xsi:type="dcterms:W3CDTF">2025-09-09T02:36:57Z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